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F65790">
        <w:rPr>
          <w:b/>
          <w:sz w:val="32"/>
          <w:szCs w:val="32"/>
        </w:rPr>
        <w:t xml:space="preserve">программе МБДОУ </w:t>
      </w:r>
      <w:r w:rsidR="00F65790">
        <w:rPr>
          <w:b/>
          <w:sz w:val="32"/>
          <w:szCs w:val="32"/>
        </w:rPr>
        <w:br/>
        <w:t>«ЦРР - детский сад №10</w:t>
      </w:r>
      <w:r>
        <w:rPr>
          <w:b/>
          <w:sz w:val="32"/>
          <w:szCs w:val="32"/>
        </w:rPr>
        <w:t xml:space="preserve"> «И</w:t>
      </w:r>
      <w:r w:rsidR="00F65790">
        <w:rPr>
          <w:b/>
          <w:sz w:val="32"/>
          <w:szCs w:val="32"/>
        </w:rPr>
        <w:t>вушк</w:t>
      </w:r>
      <w:r>
        <w:rPr>
          <w:b/>
          <w:sz w:val="32"/>
          <w:szCs w:val="32"/>
        </w:rPr>
        <w:t>а»</w:t>
      </w:r>
      <w:r w:rsidRPr="00B93D3A">
        <w:rPr>
          <w:b/>
          <w:sz w:val="32"/>
          <w:szCs w:val="32"/>
        </w:rPr>
        <w:t xml:space="preserve">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F65790">
        <w:t xml:space="preserve">10 </w:t>
      </w:r>
      <w:r>
        <w:t>«И</w:t>
      </w:r>
      <w:r w:rsidR="00F65790">
        <w:t>вушк</w:t>
      </w:r>
      <w:r>
        <w:t>а»</w:t>
      </w:r>
      <w:r w:rsidRPr="00DD0E04">
        <w:t xml:space="preserve"> разработана педагогическим коллективом в соответствии с: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F65790" w:rsidP="00F65790">
      <w:pPr>
        <w:numPr>
          <w:ilvl w:val="0"/>
          <w:numId w:val="1"/>
        </w:numPr>
        <w:jc w:val="both"/>
      </w:pPr>
      <w:bookmarkStart w:id="0" w:name="_GoBack"/>
      <w:bookmarkEnd w:id="0"/>
      <w:r w:rsidRPr="00DD0E04">
        <w:t xml:space="preserve">Уставом </w:t>
      </w:r>
      <w:r>
        <w:t>МБДОУ</w:t>
      </w:r>
      <w:r>
        <w:t xml:space="preserve"> «ЦРР - детский сад №10 «Ивушка»</w:t>
      </w:r>
      <w:r w:rsidR="004C4233">
        <w:t>.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F65790">
        <w:t xml:space="preserve">МБДОУ </w:t>
      </w:r>
      <w:r w:rsidR="00F65790">
        <w:t>«ЦРР - детский сад №10 «Ивушка»</w:t>
      </w:r>
      <w:r w:rsidRPr="00DD0E04">
        <w:t>.</w:t>
      </w:r>
      <w:r w:rsidRPr="00DD0E04">
        <w:t xml:space="preserve">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F65790">
        <w:t xml:space="preserve">МБДОУ </w:t>
      </w:r>
      <w:r w:rsidR="00F65790">
        <w:t>«ЦРР - детский сад №10 «Ивушка»</w:t>
      </w:r>
      <w:r w:rsidRPr="00917103">
        <w:t>,</w:t>
      </w:r>
      <w:r w:rsidRPr="00917103">
        <w:t xml:space="preserve"> 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F65790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4C4233"/>
    <w:rsid w:val="007176B0"/>
    <w:rsid w:val="00946F84"/>
    <w:rsid w:val="00BF1804"/>
    <w:rsid w:val="00BF1DB0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2D761"/>
  <w15:docId w15:val="{DB4E3E4C-EB5D-4433-ABDF-267FD54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3</cp:revision>
  <cp:lastPrinted>2017-10-12T11:46:00Z</cp:lastPrinted>
  <dcterms:created xsi:type="dcterms:W3CDTF">2017-10-12T11:56:00Z</dcterms:created>
  <dcterms:modified xsi:type="dcterms:W3CDTF">2019-03-12T13:43:00Z</dcterms:modified>
</cp:coreProperties>
</file>